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Default Extension="odttf" ContentType="application/vnd.openxmlformats-officedocument.obfuscatedFont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COMPANY PROFILE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70"/>
        </w:rPr>
        <w:t>GV CAPITAL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0A6670"/>
          <w:sz w:val="26"/>
        </w:rPr>
        <w:t>Investment and development holding</w:t>
      </w:r>
    </w:p>
    <w:p>
      <w:pPr>
        <w:keepNext w:val="0"/>
        <w:spacing w:after="360" w:before="0" w:line="271" w:lineRule="auto"/>
      </w:pPr>
      <w:r>
        <w:rPr>
          <w:rFonts w:ascii="Aktiv Grotesk Ex" w:hAnsi="Aktiv Grotesk Ex" w:eastAsia="Aktiv Grotesk Ex" w:cs="Aktiv Grotesk Ex"/>
          <w:b w:val="0"/>
          <w:color w:val="586B73"/>
          <w:sz w:val="24"/>
        </w:rPr>
        <w:t>Industrial and logistics space in Georgia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40"/>
        </w:rPr>
        <w:t>SPACE THAT CREATES</w:t>
        <w:br/>
        <w:t>OPPORTUNITIES.</w:t>
      </w:r>
    </w:p>
    <w:p>
      <w:pPr>
        <w:sectPr>
          <w:headerReference w:type="default" r:id="rId9"/>
          <w:footerReference w:type="default" r:id="rId10"/>
          <w:pgSz w:w="11906" w:h="16838"/>
          <w:pgMar w:top="2438" w:right="1020" w:bottom="119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01 / THE HOLDING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60"/>
        </w:rPr>
        <w:t>Space for</w:t>
        <w:br/>
        <w:t>development</w:t>
      </w:r>
    </w:p>
    <w:p>
      <w:pPr>
        <w:keepNext w:val="0"/>
        <w:spacing w:after="3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8"/>
        </w:rPr>
        <w:t>GV Capital is an investment and development holding that creates space for projects, for partnership and for development.</w:t>
      </w:r>
    </w:p>
    <w:p>
      <w:pPr>
        <w:keepNext w:val="0"/>
        <w:spacing w:after="22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Its first direction is industrial and logistics space: production and warehouse complexes in and around Tbilisi, offered for sale in full or as individual units.</w:t>
      </w:r>
    </w:p>
    <w:p>
      <w:pPr>
        <w:keepNext w:val="0"/>
        <w:spacing w:after="28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GV stands for Georgian Ventures. The name supports different projects and business directions without being tied to one location or sector.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A clear structure</w:t>
      </w:r>
    </w:p>
    <w:p>
      <w:pPr>
        <w:keepNext w:val="0"/>
        <w:spacing w:after="32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GV Capital is the holding brand. Industrial &amp; Logistics is its first business direction. Each project has its own location, specifications and commercial information.</w:t>
      </w: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GV CAPITAL</w:t>
      </w:r>
    </w:p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34"/>
        </w:rPr>
        <w:t>Industrial &amp; Logistics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 w:val="0"/>
          <w:color w:val="586B73"/>
          <w:sz w:val="26"/>
        </w:rPr>
        <w:t>[PROJECT NAME]</w:t>
      </w:r>
    </w:p>
    <w:p>
      <w:pPr>
        <w:sectPr>
          <w:headerReference w:type="default" r:id="rId11"/>
          <w:footerReference w:type="default" r:id="rId12"/>
          <w:pgSz w:w="11906" w:h="16838"/>
          <w:pgMar w:top="2438" w:right="1020" w:bottom="323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02 / FIRST DIRECTION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60"/>
        </w:rPr>
        <w:t>Industrial</w:t>
        <w:br/>
        <w:t>and logistics</w:t>
      </w:r>
    </w:p>
    <w:p>
      <w:pPr>
        <w:keepNext w:val="0"/>
        <w:spacing w:after="22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6"/>
        </w:rPr>
        <w:t>Production and warehouse space for businesses that need premises shaped around their operations.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Location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The first direction focuses on Tbilisi and its surrounding area. Review each project against access, transport connections and day to day operational requirements.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Ownership formats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Complexes are offered for sale as a whole or as individual units. The right format depends on the required area, operational layout and available inventory.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061"/>
        <w:gridCol w:w="6803"/>
      </w:tblGrid>
      <w:tr>
        <w:trPr>
          <w:tblHeader/>
        </w:trPr>
        <w:tc>
          <w:tcPr>
            <w:tcW w:type="dxa" w:w="3061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REQUIREMENT</w:t>
            </w:r>
          </w:p>
        </w:tc>
        <w:tc>
          <w:tcPr>
            <w:tcW w:type="dxa" w:w="6803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INFORMATION TO REVIEW</w:t>
            </w:r>
          </w:p>
        </w:tc>
      </w:tr>
      <w:tr>
        <w:tc>
          <w:tcPr>
            <w:tcW w:type="dxa" w:w="3061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Space and layout</w:t>
            </w:r>
          </w:p>
        </w:tc>
        <w:tc>
          <w:tcPr>
            <w:tcW w:type="dxa" w:w="680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Area, clear height and usable configuration</w:t>
            </w:r>
          </w:p>
        </w:tc>
      </w:tr>
      <w:tr>
        <w:tc>
          <w:tcPr>
            <w:tcW w:type="dxa" w:w="3061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Access</w:t>
            </w:r>
          </w:p>
        </w:tc>
        <w:tc>
          <w:tcPr>
            <w:tcW w:type="dxa" w:w="6803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Vehicle routes, loading and site access</w:t>
            </w:r>
          </w:p>
        </w:tc>
      </w:tr>
      <w:tr>
        <w:tc>
          <w:tcPr>
            <w:tcW w:type="dxa" w:w="3061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Utilities</w:t>
            </w:r>
          </w:p>
        </w:tc>
        <w:tc>
          <w:tcPr>
            <w:tcW w:type="dxa" w:w="680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Connections and technical capacity</w:t>
            </w:r>
          </w:p>
        </w:tc>
      </w:tr>
      <w:tr>
        <w:tc>
          <w:tcPr>
            <w:tcW w:type="dxa" w:w="3061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Delivery</w:t>
            </w:r>
          </w:p>
        </w:tc>
        <w:tc>
          <w:tcPr>
            <w:tcW w:type="dxa" w:w="6803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Current stage, specification and availability</w:t>
            </w:r>
          </w:p>
        </w:tc>
      </w:tr>
      <w:tr>
        <w:tc>
          <w:tcPr>
            <w:tcW w:type="dxa" w:w="3061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Commercial terms</w:t>
            </w:r>
          </w:p>
        </w:tc>
        <w:tc>
          <w:tcPr>
            <w:tcW w:type="dxa" w:w="680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Price, taxes, payment and ownership structure</w:t>
            </w:r>
          </w:p>
        </w:tc>
      </w:tr>
    </w:tbl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"/>
        </w:rPr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 w:val="0"/>
          <w:color w:val="586B73"/>
          <w:sz w:val="19"/>
        </w:rPr>
        <w:t>Specifications and availability are provided separately for each opportunity.</w:t>
      </w:r>
    </w:p>
    <w:p>
      <w:pPr>
        <w:sectPr>
          <w:headerReference w:type="default" r:id="rId13"/>
          <w:footerReference w:type="default" r:id="rId14"/>
          <w:pgSz w:w="11906" w:h="16838"/>
          <w:pgMar w:top="2438" w:right="1020" w:bottom="323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03 / PARTNERSHIP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60"/>
        </w:rPr>
        <w:t>A considered</w:t>
        <w:br/>
        <w:t>approach</w:t>
      </w:r>
    </w:p>
    <w:p>
      <w:pPr>
        <w:keepNext w:val="0"/>
        <w:spacing w:after="24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6"/>
        </w:rPr>
        <w:t>Trust, partnership and a long term view guide how GV Capital presents its projects and works with others.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Trust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Clear information supports a sound decision. Project communications separate confirmed facts from estimates and make the status of each opportunity easy to understand.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Partnership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Investors, development and operating partners, and businesses seeking premises each need information relevant to their role.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A long term view</w:t>
      </w:r>
    </w:p>
    <w:p>
      <w:pPr>
        <w:keepNext w:val="0"/>
        <w:spacing w:after="1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Location, practical use and the ability to support future operations matter beyond the initial transaction.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81"/>
        <w:gridCol w:w="7483"/>
      </w:tblGrid>
      <w:tr>
        <w:trPr>
          <w:tblHeader/>
        </w:trPr>
        <w:tc>
          <w:tcPr>
            <w:tcW w:type="dxa" w:w="2381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AUDIENCE</w:t>
            </w:r>
          </w:p>
        </w:tc>
        <w:tc>
          <w:tcPr>
            <w:tcW w:type="dxa" w:w="7483"/>
            <w:vAlign w:val="center"/>
            <w:shd w:fill="16232A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/>
                <w:color w:val="FFFFFF"/>
                <w:sz w:val="19"/>
              </w:rPr>
              <w:t>FOCUS OF THE CONVERSATION</w:t>
            </w:r>
          </w:p>
        </w:tc>
      </w:tr>
      <w:tr>
        <w:tc>
          <w:tcPr>
            <w:tcW w:type="dxa" w:w="2381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Investors</w:t>
            </w:r>
          </w:p>
        </w:tc>
        <w:tc>
          <w:tcPr>
            <w:tcW w:type="dxa" w:w="748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Opportunity, project structure, assumptions and risk</w:t>
            </w:r>
          </w:p>
        </w:tc>
      </w:tr>
      <w:tr>
        <w:tc>
          <w:tcPr>
            <w:tcW w:type="dxa" w:w="2381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Partners</w:t>
            </w:r>
          </w:p>
        </w:tc>
        <w:tc>
          <w:tcPr>
            <w:tcW w:type="dxa" w:w="7483"/>
            <w:vAlign w:val="center"/>
            <w:shd w:fill="FFFFFF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Roles, capabilities, responsibilities and delivery</w:t>
            </w:r>
          </w:p>
        </w:tc>
      </w:tr>
      <w:tr>
        <w:tc>
          <w:tcPr>
            <w:tcW w:type="dxa" w:w="2381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Businesses</w:t>
            </w:r>
          </w:p>
        </w:tc>
        <w:tc>
          <w:tcPr>
            <w:tcW w:type="dxa" w:w="7483"/>
            <w:vAlign w:val="center"/>
            <w:shd w:fill="F1F6F6"/>
            <w:tcMar>
              <w:top w:w="90" w:type="dxa"/>
              <w:left w:w="90" w:type="dxa"/>
              <w:bottom w:w="90" w:type="dxa"/>
              <w:right w:w="90" w:type="dxa"/>
            </w:tcMar>
            <w:tcBorders>
              <w:top w:val="single" w:sz="3" w:color="CADBDE"/>
              <w:left w:val="single" w:sz="3" w:color="CADBDE"/>
              <w:bottom w:val="single" w:sz="3" w:color="CADBDE"/>
              <w:right w:val="single" w:sz="3" w:color="CADBDE"/>
            </w:tcBorders>
          </w:tcPr>
          <w:p>
            <w:pPr>
              <w:spacing w:after="0" w:line="259" w:lineRule="auto"/>
            </w:pPr>
            <w:r>
              <w:rPr>
                <w:rFonts w:ascii="Aktiv Grotesk Ex" w:hAnsi="Aktiv Grotesk Ex" w:eastAsia="Aktiv Grotesk Ex" w:cs="Aktiv Grotesk Ex"/>
                <w:b w:val="0"/>
                <w:color w:val="16232A"/>
                <w:sz w:val="19"/>
              </w:rPr>
              <w:t>Operational fit, available space and ownership terms</w:t>
            </w:r>
          </w:p>
        </w:tc>
      </w:tr>
    </w:tbl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"/>
        </w:rPr>
      </w:r>
    </w:p>
    <w:p>
      <w:pPr>
        <w:sectPr>
          <w:headerReference w:type="default" r:id="rId15"/>
          <w:footerReference w:type="default" r:id="rId16"/>
          <w:pgSz w:w="11906" w:h="16838"/>
          <w:pgMar w:top="2438" w:right="1020" w:bottom="3231" w:left="1020" w:header="0" w:footer="454" w:gutter="0"/>
          <w:cols w:space="720"/>
          <w:docGrid w:linePitch="360"/>
        </w:sectPr>
      </w:pPr>
    </w:p>
    <w:p>
      <w:pPr>
        <w:keepNext w:val="0"/>
        <w:spacing w:after="200" w:before="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16"/>
        </w:rPr>
        <w:t>04 / CONTACT</w:t>
      </w:r>
    </w:p>
    <w:p>
      <w:pPr>
        <w:pStyle w:val="Title"/>
        <w:keepNext/>
        <w:spacing w:after="26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66"/>
        </w:rPr>
        <w:t>Discuss</w:t>
        <w:br/>
        <w:t>your space</w:t>
      </w:r>
    </w:p>
    <w:p>
      <w:pPr>
        <w:keepNext w:val="0"/>
        <w:spacing w:after="36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8"/>
        </w:rPr>
        <w:t>Tell us what your business needs. We can discuss the relevant project information and the next step.</w:t>
      </w:r>
    </w:p>
    <w:p>
      <w:pPr>
        <w:pStyle w:val="Heading2"/>
        <w:keepNext/>
        <w:spacing w:after="100" w:before="160" w:line="271" w:lineRule="auto"/>
      </w:pPr>
      <w:r>
        <w:rPr>
          <w:rFonts w:ascii="Aktiv Grotesk Ex" w:hAnsi="Aktiv Grotesk Ex" w:eastAsia="Aktiv Grotesk Ex" w:cs="Aktiv Grotesk Ex"/>
          <w:b/>
          <w:color w:val="0A6670"/>
          <w:sz w:val="24"/>
        </w:rPr>
        <w:t>To start the conversation</w:t>
      </w:r>
    </w:p>
    <w:p>
      <w:pPr>
        <w:keepNext w:val="0"/>
        <w:spacing w:after="440" w:before="0" w:line="271" w:lineRule="auto"/>
      </w:pPr>
      <w:r>
        <w:rPr>
          <w:rFonts w:ascii="Aktiv Grotesk Ex" w:hAnsi="Aktiv Grotesk Ex" w:eastAsia="Aktiv Grotesk Ex" w:cs="Aktiv Grotesk Ex"/>
          <w:b w:val="0"/>
          <w:color w:val="16232A"/>
          <w:sz w:val="22"/>
        </w:rPr>
        <w:t>Share the intended use, preferred location, approximate area and required timeframe. For partnership or investment enquiries, add the nature of your interest and the information you need to review.</w:t>
      </w:r>
    </w:p>
    <w:p>
      <w:pPr>
        <w:keepNext w:val="0"/>
        <w:spacing w:after="100" w:before="0" w:line="271" w:lineRule="auto"/>
      </w:pPr>
      <w:r>
        <w:rPr>
          <w:rFonts w:ascii="Aktiv Grotesk Ex" w:hAnsi="Aktiv Grotesk Ex" w:eastAsia="Aktiv Grotesk Ex" w:cs="Aktiv Grotesk Ex"/>
          <w:b/>
          <w:color w:val="16232A"/>
          <w:sz w:val="38"/>
        </w:rPr>
        <w:t>[NAME SURNAME]</w:t>
      </w:r>
    </w:p>
    <w:p>
      <w:pPr>
        <w:keepNext w:val="0"/>
        <w:spacing w:after="320" w:before="0" w:line="271" w:lineRule="auto"/>
      </w:pPr>
      <w:r>
        <w:rPr>
          <w:rFonts w:ascii="Aktiv Grotesk Ex" w:hAnsi="Aktiv Grotesk Ex" w:eastAsia="Aktiv Grotesk Ex" w:cs="Aktiv Grotesk Ex"/>
          <w:b w:val="0"/>
          <w:color w:val="586B73"/>
          <w:sz w:val="22"/>
        </w:rPr>
        <w:t>[JOB TITLE]</w:t>
      </w:r>
    </w:p>
    <w:p>
      <w:pPr>
        <w:keepNext w:val="0"/>
        <w:spacing w:after="320" w:before="0" w:line="271" w:lineRule="auto"/>
      </w:pPr>
      <w:r>
        <w:rPr>
          <w:rFonts w:ascii="Aktiv Grotesk Ex" w:hAnsi="Aktiv Grotesk Ex" w:eastAsia="Aktiv Grotesk Ex" w:cs="Aktiv Grotesk Ex"/>
          <w:b w:val="0"/>
          <w:color w:val="0A6670"/>
          <w:sz w:val="26"/>
        </w:rPr>
        <w:t>[EMAIL]</w:t>
        <w:br/>
        <w:t>[PHONE]</w:t>
        <w:br/>
        <w:t>[WEBSITE]</w:t>
      </w:r>
    </w:p>
    <w:p>
      <w:pPr>
        <w:keepNext w:val="0"/>
        <w:spacing w:after="0" w:before="0" w:line="271" w:lineRule="auto"/>
      </w:pPr>
      <w:r>
        <w:rPr>
          <w:rFonts w:ascii="Aktiv Grotesk Ex" w:hAnsi="Aktiv Grotesk Ex" w:eastAsia="Aktiv Grotesk Ex" w:cs="Aktiv Grotesk Ex"/>
          <w:b w:val="0"/>
          <w:color w:val="586B73"/>
          <w:sz w:val="22"/>
        </w:rPr>
        <w:t>[OFFICE ADDRESS]</w:t>
      </w:r>
    </w:p>
    <w:sectPr w:rsidR="00FC693F" w:rsidRPr="0006063C" w:rsidSect="00034616">
      <w:headerReference w:type="default" r:id="rId17"/>
      <w:footerReference w:type="default" r:id="rId18"/>
      <w:pgSz w:w="11906" w:h="16838"/>
      <w:pgMar w:top="2438" w:right="1020" w:bottom="3231" w:left="1020" w:header="0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ktiv Grotesk Ex">
    <w:embedRegular r:id="rIdGVFont1" w:fontKey="{EAC2CFCA-8359-573F-8605-40EB76653120}" w:subsetted="0"/>
    <w:embedBold r:id="rIdGVFont2" w:fontKey="{8EB4BD88-E2E5-5527-8E0C-42D38129C9F8}" w:subsetted="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01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02</w:t>
    </w: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03</w:t>
    </w:r>
  </w:p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04</w:t>
    </w:r>
  </w:p>
</w:ftr>
</file>

<file path=word/footer5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865" w:val="right"/>
      </w:tabs>
      <w:spacing w:after="0" w:line="264" w:lineRule="auto"/>
      <w:ind w:left="9354" w:right="-850"/>
    </w:pPr>
    <w:r>
      <w:rPr>
        <w:rFonts w:ascii="Aktiv Grotesk Ex" w:hAnsi="Aktiv Grotesk Ex" w:eastAsia="Aktiv Grotesk Ex" w:cs="Aktiv Grotesk Ex"/>
        <w:b w:val="0"/>
        <w:color w:val="FFFFFF"/>
        <w:sz w:val="14"/>
      </w:rPr>
      <w:t>CONCEPT</w:t>
      <w:br/>
      <w:t>IMAGERY / 05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profile-cov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5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4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5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 w:line="20" w:lineRule="exact"/>
    </w:pPr>
    <w:r>
      <w:drawing>
        <wp:anchor distT="0" distB="0" distL="0" distR="0" simplePos="0" relativeHeight="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0"/>
          <wp:wrapNone/>
          <wp:docPr id="1" name="Picture 1" descr="GV Capital brand graphic and concept architecture imagery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inside-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Aktiv Grotesk Ex" w:hAnsi="Aktiv Grotesk Ex" w:eastAsia="Aktiv Grotesk Ex" w:cs="Aktiv Grotesk Ex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Aktiv Grotesk Ex" w:hAnsi="Aktiv Grotesk Ex" w:eastAsia="Aktiv Grotesk Ex" w:cs="Aktiv Grotesk Ex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Aktiv Grotesk Ex" w:hAnsi="Aktiv Grotesk Ex" w:eastAsia="Aktiv Grotesk Ex" w:cs="Aktiv Grotesk Ex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Aktiv Grotesk Ex" w:hAnsi="Aktiv Grotesk Ex" w:eastAsia="Aktiv Grotesk Ex" w:cs="Aktiv Grotesk Ex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 w:val="true"/>
  <w:saveSubsetFonts w:val="false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ktiv Grotesk Ex" w:hAnsi="Aktiv Grotesk Ex" w:eastAsia="Aktiv Grotesk Ex" w:cs="Aktiv Grotesk Ex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Aktiv Grotesk Ex" w:hAnsi="Aktiv Grotesk Ex" w:eastAsia="Aktiv Grotesk Ex" w:cs="Aktiv Grotesk Ex"/>
      <w:color w:val="16232A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Aktiv Grotesk Ex" w:hAnsi="Aktiv Grotesk Ex" w:eastAsia="Aktiv Grotesk Ex" w:cs="Aktiv Grotesk Ex"/>
      <w:color w:val="16232A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Aktiv Grotesk Ex" w:hAnsi="Aktiv Grotesk Ex" w:eastAsia="Aktiv Grotesk Ex" w:cs="Aktiv Grotesk Ex"/>
      <w:color w:val="16232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ktiv Grotesk Ex" w:hAnsi="Aktiv Grotesk Ex" w:eastAsia="Aktiv Grotesk Ex" w:cs="Aktiv Grotesk Ex"/>
      <w:b/>
      <w:bCs/>
      <w:color w:val="16232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ktiv Grotesk Ex" w:hAnsi="Aktiv Grotesk Ex" w:eastAsia="Aktiv Grotesk Ex" w:cs="Aktiv Grotesk Ex"/>
      <w:b/>
      <w:bCs/>
      <w:color w:val="16232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ktiv Grotesk Ex" w:hAnsi="Aktiv Grotesk Ex" w:eastAsia="Aktiv Grotesk Ex" w:cs="Aktiv Grotesk Ex"/>
      <w:b/>
      <w:bCs/>
      <w:color w:val="16232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ktiv Grotesk Ex" w:hAnsi="Aktiv Grotesk Ex" w:eastAsia="Aktiv Grotesk Ex" w:cs="Aktiv Grotesk Ex"/>
      <w:b/>
      <w:bCs/>
      <w:i/>
      <w:iCs/>
      <w:color w:val="16232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ktiv Grotesk Ex" w:hAnsi="Aktiv Grotesk Ex" w:eastAsia="Aktiv Grotesk Ex" w:cs="Aktiv Grotesk Ex"/>
      <w:color w:val="16232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ktiv Grotesk Ex" w:hAnsi="Aktiv Grotesk Ex" w:eastAsia="Aktiv Grotesk Ex" w:cs="Aktiv Grotesk Ex"/>
      <w:i/>
      <w:iCs/>
      <w:color w:val="16232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ktiv Grotesk Ex" w:hAnsi="Aktiv Grotesk Ex" w:eastAsia="Aktiv Grotesk Ex" w:cs="Aktiv Grotesk Ex"/>
      <w:i/>
      <w:iCs/>
      <w:color w:val="16232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ktiv Grotesk Ex" w:hAnsi="Aktiv Grotesk Ex" w:eastAsia="Aktiv Grotesk Ex" w:cs="Aktiv Grotesk Ex"/>
      <w:color w:val="16232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ktiv Grotesk Ex" w:hAnsi="Aktiv Grotesk Ex" w:eastAsia="Aktiv Grotesk Ex" w:cs="Aktiv Grotesk Ex"/>
      <w:i/>
      <w:iCs/>
      <w:color w:val="16232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Aktiv Grotesk Ex" w:hAnsi="Aktiv Grotesk Ex" w:eastAsia="Aktiv Grotesk Ex" w:cs="Aktiv Grotesk Ex"/>
      <w:color w:val="16232A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ktiv Grotesk Ex" w:hAnsi="Aktiv Grotesk Ex" w:eastAsia="Aktiv Grotesk Ex" w:cs="Aktiv Grotesk Ex"/>
      <w:b/>
      <w:bCs/>
      <w:color w:val="16232A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ktiv Grotesk Ex" w:hAnsi="Aktiv Grotesk Ex" w:eastAsia="Aktiv Grotesk Ex" w:cs="Aktiv Grotesk Ex"/>
      <w:b/>
      <w:bCs/>
      <w:color w:val="16232A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ktiv Grotesk Ex" w:hAnsi="Aktiv Grotesk Ex" w:eastAsia="Aktiv Grotesk Ex" w:cs="Aktiv Grotesk Ex"/>
      <w:b/>
      <w:bCs/>
      <w:color w:val="16232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="Aktiv Grotesk Ex" w:hAnsi="Aktiv Grotesk Ex" w:eastAsia="Aktiv Grotesk Ex" w:cs="Aktiv Grotesk Ex"/>
      <w:b/>
      <w:color w:val="16232A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ktiv Grotesk Ex" w:hAnsi="Aktiv Grotesk Ex" w:eastAsia="Aktiv Grotesk Ex" w:cs="Aktiv Grotesk Ex"/>
      <w:color w:val="16232A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ktiv Grotesk Ex" w:hAnsi="Aktiv Grotesk Ex" w:eastAsia="Aktiv Grotesk Ex" w:cs="Aktiv Grotesk Ex"/>
      <w:i/>
      <w:iCs/>
      <w:color w:val="16232A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ktiv Grotesk Ex" w:hAnsi="Aktiv Grotesk Ex" w:eastAsia="Aktiv Grotesk Ex" w:cs="Aktiv Grotesk Ex"/>
      <w:i/>
      <w:iCs/>
      <w:color w:val="16232A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Aktiv Grotesk Ex" w:hAnsi="Aktiv Grotesk Ex" w:eastAsia="Aktiv Grotesk Ex" w:cs="Aktiv Grotesk Ex"/>
      <w:color w:val="16232A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Aktiv Grotesk Ex" w:hAnsi="Aktiv Grotesk Ex" w:eastAsia="Aktiv Grotesk Ex" w:cs="Aktiv Grotesk Ex"/>
      <w:color w:val="16232A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Aktiv Grotesk Ex" w:hAnsi="Aktiv Grotesk Ex" w:eastAsia="Aktiv Grotesk Ex" w:cs="Aktiv Grotesk Ex"/>
      <w:color w:val="16232A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Aktiv Grotesk Ex" w:hAnsi="Aktiv Grotesk Ex" w:eastAsia="Aktiv Grotesk Ex" w:cs="Aktiv Grotesk Ex"/>
      <w:color w:val="16232A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Aktiv Grotesk Ex" w:hAnsi="Aktiv Grotesk Ex" w:eastAsia="Aktiv Grotesk Ex" w:cs="Aktiv Grotesk Ex"/>
      <w:color w:val="16232A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Aktiv Grotesk Ex" w:hAnsi="Aktiv Grotesk Ex" w:eastAsia="Aktiv Grotesk Ex" w:cs="Aktiv Grotesk Ex"/>
      <w:color w:val="16232A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Aktiv Grotesk Ex" w:hAnsi="Aktiv Grotesk Ex" w:eastAsia="Aktiv Grotesk Ex" w:cs="Aktiv Grotesk Ex"/>
      <w:color w:val="16232A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ktiv Grotesk Ex" w:hAnsi="Aktiv Grotesk Ex" w:eastAsia="Aktiv Grotesk Ex" w:cs="Aktiv Grotesk Ex"/>
      <w:color w:val="16232A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ktiv Grotesk Ex" w:hAnsi="Aktiv Grotesk Ex" w:eastAsia="Aktiv Grotesk Ex" w:cs="Aktiv Grotesk Ex"/>
      <w:color w:val="16232A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ktiv Grotesk Ex" w:hAnsi="Aktiv Grotesk Ex" w:eastAsia="Aktiv Grotesk Ex" w:cs="Aktiv Grotesk Ex"/>
      <w:color w:val="16232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ktiv Grotesk Ex" w:hAnsi="Aktiv Grotesk Ex" w:eastAsia="Aktiv Grotesk Ex" w:cs="Aktiv Grotesk Ex"/>
      <w:color w:val="16232A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ktiv Grotesk Ex" w:hAnsi="Aktiv Grotesk Ex" w:eastAsia="Aktiv Grotesk Ex" w:cs="Aktiv Grotesk Ex"/>
      <w:i/>
      <w:iCs/>
      <w:color w:val="16232A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Aktiv Grotesk Ex" w:hAnsi="Aktiv Grotesk Ex" w:eastAsia="Aktiv Grotesk Ex" w:cs="Aktiv Grotesk Ex"/>
      <w:b/>
      <w:bCs/>
      <w:color w:val="16232A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Aktiv Grotesk Ex" w:hAnsi="Aktiv Grotesk Ex" w:eastAsia="Aktiv Grotesk Ex" w:cs="Aktiv Grotesk Ex"/>
      <w:b/>
      <w:bCs/>
      <w:color w:val="16232A"/>
    </w:rPr>
  </w:style>
  <w:style w:type="character" w:styleId="Emphasis">
    <w:name w:val="Emphasis"/>
    <w:basedOn w:val="DefaultParagraphFont"/>
    <w:uiPriority w:val="20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Aktiv Grotesk Ex" w:hAnsi="Aktiv Grotesk Ex" w:eastAsia="Aktiv Grotesk Ex" w:cs="Aktiv Grotesk Ex"/>
      <w:i/>
      <w:iCs/>
      <w:color w:val="16232A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Aktiv Grotesk Ex" w:hAnsi="Aktiv Grotesk Ex" w:eastAsia="Aktiv Grotesk Ex" w:cs="Aktiv Grotesk Ex"/>
      <w:b/>
      <w:bCs/>
      <w:i/>
      <w:iCs/>
      <w:color w:val="16232A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Aktiv Grotesk Ex" w:hAnsi="Aktiv Grotesk Ex" w:eastAsia="Aktiv Grotesk Ex" w:cs="Aktiv Grotesk Ex"/>
      <w:smallCaps/>
      <w:color w:val="16232A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Aktiv Grotesk Ex" w:hAnsi="Aktiv Grotesk Ex" w:eastAsia="Aktiv Grotesk Ex" w:cs="Aktiv Grotesk Ex"/>
      <w:b/>
      <w:bCs/>
      <w:smallCaps/>
      <w:color w:val="16232A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Aktiv Grotesk Ex" w:hAnsi="Aktiv Grotesk Ex" w:eastAsia="Aktiv Grotesk Ex" w:cs="Aktiv Grotesk Ex"/>
      <w:b/>
      <w:bCs/>
      <w:smallCaps/>
      <w:color w:val="16232A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Aktiv Grotesk Ex" w:hAnsi="Aktiv Grotesk Ex" w:eastAsia="Aktiv Grotesk Ex" w:cs="Aktiv Grotesk Ex"/>
      <w:color w:val="16232A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ktiv Grotesk Ex" w:hAnsi="Aktiv Grotesk Ex" w:eastAsia="Aktiv Grotesk Ex" w:cs="Aktiv Grotesk Ex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ktiv Grotesk Ex" w:hAnsi="Aktiv Grotesk Ex" w:eastAsia="Aktiv Grotesk Ex" w:cs="Aktiv Grotesk Ex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ktiv Grotesk Ex" w:hAnsi="Aktiv Grotesk Ex" w:eastAsia="Aktiv Grotesk Ex" w:cs="Aktiv Grotesk Ex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ktiv Grotesk Ex" w:hAnsi="Aktiv Grotesk Ex" w:eastAsia="Aktiv Grotesk Ex" w:cs="Aktiv Grotesk Ex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Aktiv Grotesk Ex" w:hAnsi="Aktiv Grotesk Ex" w:eastAsia="Aktiv Grotesk Ex" w:cs="Aktiv Grotesk Ex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Aktiv Grotesk Ex" w:hAnsi="Aktiv Grotesk Ex" w:eastAsia="Aktiv Grotesk Ex" w:cs="Aktiv Grotesk Ex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Aktiv Grotesk Ex" w:hAnsi="Aktiv Grotesk Ex" w:eastAsia="Aktiv Grotesk Ex" w:cs="Aktiv Grotesk Ex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Aktiv Grotesk Ex" w:hAnsi="Aktiv Grotesk Ex" w:eastAsia="Aktiv Grotesk Ex" w:cs="Aktiv Grotesk Ex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Aktiv Grotesk Ex" w:hAnsi="Aktiv Grotesk Ex" w:eastAsia="Aktiv Grotesk Ex" w:cs="Aktiv Grotesk Ex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Aktiv Grotesk Ex" w:hAnsi="Aktiv Grotesk Ex" w:eastAsia="Aktiv Grotesk Ex" w:cs="Aktiv Grotesk Ex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Aktiv Grotesk Ex" w:hAnsi="Aktiv Grotesk Ex" w:eastAsia="Aktiv Grotesk Ex" w:cs="Aktiv Grotesk Ex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Aktiv Grotesk Ex" w:hAnsi="Aktiv Grotesk Ex" w:eastAsia="Aktiv Grotesk Ex" w:cs="Aktiv Grotesk Ex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Aktiv Grotesk Ex" w:hAnsi="Aktiv Grotesk Ex" w:eastAsia="Aktiv Grotesk Ex" w:cs="Aktiv Grotesk Ex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ktiv Grotesk Ex" w:hAnsi="Aktiv Grotesk Ex" w:eastAsia="Aktiv Grotesk Ex" w:cs="Aktiv Grotesk Ex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Aktiv Grotesk Ex" w:hAnsi="Aktiv Grotesk Ex" w:eastAsia="Aktiv Grotesk Ex" w:cs="Aktiv Grotesk Ex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Aktiv Grotesk Ex" w:hAnsi="Aktiv Grotesk Ex" w:eastAsia="Aktiv Grotesk Ex" w:cs="Aktiv Grotesk Ex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Aktiv Grotesk Ex" w:hAnsi="Aktiv Grotesk Ex" w:eastAsia="Aktiv Grotesk Ex" w:cs="Aktiv Grotesk Ex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ktiv Grotesk Ex" w:hAnsi="Aktiv Grotesk Ex" w:eastAsia="Aktiv Grotesk Ex" w:cs="Aktiv Grotesk Ex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ktiv Grotesk Ex" w:hAnsi="Aktiv Grotesk Ex" w:eastAsia="Aktiv Grotesk Ex" w:cs="Aktiv Grotesk Ex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Aktiv Grotesk Ex" w:hAnsi="Aktiv Grotesk Ex" w:eastAsia="Aktiv Grotesk Ex" w:cs="Aktiv Grotesk Ex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Aktiv Grotesk Ex" w:hAnsi="Aktiv Grotesk Ex" w:eastAsia="Aktiv Grotesk Ex" w:cs="Aktiv Grotesk Ex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Aktiv Grotesk Ex" w:hAnsi="Aktiv Grotesk Ex" w:eastAsia="Aktiv Grotesk Ex" w:cs="Aktiv Grotesk Ex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Aktiv Grotesk Ex" w:hAnsi="Aktiv Grotesk Ex" w:eastAsia="Aktiv Grotesk Ex" w:cs="Aktiv Grotesk Ex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Aktiv Grotesk Ex" w:hAnsi="Aktiv Grotesk Ex" w:eastAsia="Aktiv Grotesk Ex" w:cs="Aktiv Grotesk Ex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Aktiv Grotesk Ex" w:hAnsi="Aktiv Grotesk Ex" w:eastAsia="Aktiv Grotesk Ex" w:cs="Aktiv Grotesk Ex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Aktiv Grotesk Ex" w:hAnsi="Aktiv Grotesk Ex" w:eastAsia="Aktiv Grotesk Ex" w:cs="Aktiv Grotesk Ex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Aktiv Grotesk Ex" w:hAnsi="Aktiv Grotesk Ex" w:eastAsia="Aktiv Grotesk Ex" w:cs="Aktiv Grotesk Ex"/>
        <w:b/>
        <w:bCs/>
      </w:rPr>
    </w:tblStylePr>
    <w:tblStylePr w:type="lastCol">
      <w:rPr>
        <w:rFonts w:ascii="Aktiv Grotesk Ex" w:hAnsi="Aktiv Grotesk Ex" w:eastAsia="Aktiv Grotesk Ex" w:cs="Aktiv Grotesk Ex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ktiv Grotesk Ex" w:hAnsi="Aktiv Grotesk Ex" w:eastAsia="Aktiv Grotesk Ex" w:cs="Aktiv Grotesk Ex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Aktiv Grotesk Ex" w:hAnsi="Aktiv Grotesk Ex" w:eastAsia="Aktiv Grotesk Ex" w:cs="Aktiv Grotesk Ex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/Relationships>
</file>

<file path=word/_rels/fontTable.xml.rels><?xml version='1.0' encoding='UTF-8' standalone='yes'?>
<Relationships xmlns="http://schemas.openxmlformats.org/package/2006/relationships"><Relationship Id="rIdGVFont1" Type="http://schemas.openxmlformats.org/officeDocument/2006/relationships/font" Target="fonts/GV-AktivGroteskEx-Regular.odttf"/><Relationship Id="rIdGVFont2" Type="http://schemas.openxmlformats.org/officeDocument/2006/relationships/font" Target="fonts/GV-AktivGroteskEx-Bold.odtt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'1.0' encoding='UTF-8' standalone='yes'?>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ktiv Grotesk Ex"/>
        <a:ea typeface="Aktiv Grotesk Ex"/>
        <a:cs typeface="Aktiv Grotesk Ex"/>
        <a:font script="Jpan" typeface="Aktiv Grotesk Ex"/>
        <a:font script="Hang" typeface="Aktiv Grotesk Ex"/>
        <a:font script="Hans" typeface="Aktiv Grotesk Ex"/>
        <a:font script="Hant" typeface="Aktiv Grotesk Ex"/>
        <a:font script="Arab" typeface="Aktiv Grotesk Ex"/>
        <a:font script="Hebr" typeface="Aktiv Grotesk Ex"/>
        <a:font script="Thai" typeface="Aktiv Grotesk Ex"/>
        <a:font script="Ethi" typeface="Aktiv Grotesk Ex"/>
        <a:font script="Beng" typeface="Aktiv Grotesk Ex"/>
        <a:font script="Gujr" typeface="Aktiv Grotesk Ex"/>
        <a:font script="Khmr" typeface="Aktiv Grotesk Ex"/>
        <a:font script="Knda" typeface="Aktiv Grotesk Ex"/>
        <a:font script="Guru" typeface="Aktiv Grotesk Ex"/>
        <a:font script="Cans" typeface="Aktiv Grotesk Ex"/>
        <a:font script="Cher" typeface="Aktiv Grotesk Ex"/>
        <a:font script="Yiii" typeface="Aktiv Grotesk Ex"/>
        <a:font script="Tibt" typeface="Aktiv Grotesk Ex"/>
        <a:font script="Thaa" typeface="Aktiv Grotesk Ex"/>
        <a:font script="Deva" typeface="Aktiv Grotesk Ex"/>
        <a:font script="Telu" typeface="Aktiv Grotesk Ex"/>
        <a:font script="Taml" typeface="Aktiv Grotesk Ex"/>
        <a:font script="Syrc" typeface="Aktiv Grotesk Ex"/>
        <a:font script="Orya" typeface="Aktiv Grotesk Ex"/>
        <a:font script="Mlym" typeface="Aktiv Grotesk Ex"/>
        <a:font script="Laoo" typeface="Aktiv Grotesk Ex"/>
        <a:font script="Sinh" typeface="Aktiv Grotesk Ex"/>
        <a:font script="Mong" typeface="Aktiv Grotesk Ex"/>
        <a:font script="Viet" typeface="Aktiv Grotesk Ex"/>
        <a:font script="Uigh" typeface="Aktiv Grotesk Ex"/>
        <a:font script="Geor" typeface="Aktiv Grotesk Ex"/>
      </a:majorFont>
      <a:minorFont>
        <a:latin typeface="Aktiv Grotesk Ex"/>
        <a:ea typeface="Aktiv Grotesk Ex"/>
        <a:cs typeface="Aktiv Grotesk Ex"/>
        <a:font script="Jpan" typeface="Aktiv Grotesk Ex"/>
        <a:font script="Hang" typeface="Aktiv Grotesk Ex"/>
        <a:font script="Hans" typeface="Aktiv Grotesk Ex"/>
        <a:font script="Hant" typeface="Aktiv Grotesk Ex"/>
        <a:font script="Arab" typeface="Aktiv Grotesk Ex"/>
        <a:font script="Hebr" typeface="Aktiv Grotesk Ex"/>
        <a:font script="Thai" typeface="Aktiv Grotesk Ex"/>
        <a:font script="Ethi" typeface="Aktiv Grotesk Ex"/>
        <a:font script="Beng" typeface="Aktiv Grotesk Ex"/>
        <a:font script="Gujr" typeface="Aktiv Grotesk Ex"/>
        <a:font script="Khmr" typeface="Aktiv Grotesk Ex"/>
        <a:font script="Knda" typeface="Aktiv Grotesk Ex"/>
        <a:font script="Guru" typeface="Aktiv Grotesk Ex"/>
        <a:font script="Cans" typeface="Aktiv Grotesk Ex"/>
        <a:font script="Cher" typeface="Aktiv Grotesk Ex"/>
        <a:font script="Yiii" typeface="Aktiv Grotesk Ex"/>
        <a:font script="Tibt" typeface="Aktiv Grotesk Ex"/>
        <a:font script="Thaa" typeface="Aktiv Grotesk Ex"/>
        <a:font script="Deva" typeface="Aktiv Grotesk Ex"/>
        <a:font script="Telu" typeface="Aktiv Grotesk Ex"/>
        <a:font script="Taml" typeface="Aktiv Grotesk Ex"/>
        <a:font script="Syrc" typeface="Aktiv Grotesk Ex"/>
        <a:font script="Orya" typeface="Aktiv Grotesk Ex"/>
        <a:font script="Mlym" typeface="Aktiv Grotesk Ex"/>
        <a:font script="Laoo" typeface="Aktiv Grotesk Ex"/>
        <a:font script="Sinh" typeface="Aktiv Grotesk Ex"/>
        <a:font script="Mong" typeface="Aktiv Grotesk Ex"/>
        <a:font script="Viet" typeface="Aktiv Grotesk Ex"/>
        <a:font script="Uigh" typeface="Aktiv Grotesk Ex"/>
        <a:font script="Geor" typeface="Aktiv Grotesk Ex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Company profile</dc:title>
  <dc:subject>Company profile</dc:subject>
  <dc:creator>GV Capital</dc:creator>
  <cp:keywords/>
  <dc:description/>
  <cp:lastModifiedBy>GV Capital</cp:lastModifiedBy>
  <cp:revision>1</cp:revision>
  <dcterms:created xsi:type="dcterms:W3CDTF">2013-12-23T23:15:00Z</dcterms:created>
  <dcterms:modified xsi:type="dcterms:W3CDTF">2013-12-23T23:15:00Z</dcterms:modified>
  <cp:category/>
</cp:coreProperties>
</file>